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C2" w:rsidRPr="00D8791C" w:rsidRDefault="008646B0">
      <w:pPr>
        <w:pStyle w:val="ConsPlusTitle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190DC2" w:rsidRPr="00D8791C" w:rsidRDefault="00190DC2">
      <w:pPr>
        <w:pStyle w:val="ConsPlusTitle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от 26 августа 2022 г. N 718</w:t>
      </w:r>
    </w:p>
    <w:p w:rsidR="00190DC2" w:rsidRPr="00D8791C" w:rsidRDefault="00190DC2">
      <w:pPr>
        <w:pStyle w:val="ConsPlusTitle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ОБ УТВЕРЖДЕНИИ ПОРЯДКА ОСУЩЕСТВЛЕНИЯ МОНИТОРИНГА УРОВНЯ</w:t>
      </w: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МАКСИМАЛЬНОЙ ЗАПОЛНЯЕМОСТИ ПАРКОВОЧНЫХ МЕСТ НА ПЛАТНЫХ</w:t>
      </w: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ПАРКОВКАХ ОБЩЕГО ПОЛЬЗОВАНИЯ МЕСТНОГО ЗНАЧЕНИЯ ГОРОДА ПЕРМИ</w:t>
      </w: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ВДОЛЬ ПРОЕЗЖЕЙ ЧАСТИ В ПРЕДЕЛАХ ТАРИФНОЙ З</w:t>
      </w:r>
      <w:r w:rsidRPr="00D8791C">
        <w:rPr>
          <w:rFonts w:ascii="Times New Roman" w:hAnsi="Times New Roman" w:cs="Times New Roman"/>
          <w:sz w:val="24"/>
          <w:szCs w:val="24"/>
        </w:rPr>
        <w:t>ОНЫ</w:t>
      </w:r>
    </w:p>
    <w:p w:rsidR="00190DC2" w:rsidRPr="00D8791C" w:rsidRDefault="00190DC2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0DC2" w:rsidRPr="00D879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D8791C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D8791C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DC2" w:rsidRPr="00D8791C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0DC2" w:rsidRPr="00D8791C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1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      <w:r w:rsidRPr="00D879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</w:t>
              </w:r>
              <w:r w:rsidRPr="00D879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овления</w:t>
              </w:r>
            </w:hyperlink>
            <w:r w:rsidRPr="00D8791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27.08.2025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D8791C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C2" w:rsidRPr="00D8791C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tooltip="Постановление Правительства Пермского края от 07.07.2025 N 555-п &quot;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"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8791C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07 июля 2025 г. N 555-п "Об опре</w:t>
      </w:r>
      <w:r w:rsidRPr="00D8791C">
        <w:rPr>
          <w:rFonts w:ascii="Times New Roman" w:hAnsi="Times New Roman" w:cs="Times New Roman"/>
          <w:sz w:val="24"/>
          <w:szCs w:val="24"/>
        </w:rPr>
        <w:t>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</w:t>
      </w:r>
      <w:r w:rsidRPr="00D8791C">
        <w:rPr>
          <w:rFonts w:ascii="Times New Roman" w:hAnsi="Times New Roman" w:cs="Times New Roman"/>
          <w:sz w:val="24"/>
          <w:szCs w:val="24"/>
        </w:rPr>
        <w:t xml:space="preserve">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края", </w:t>
      </w:r>
      <w:hyperlink r:id="rId8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8791C">
        <w:rPr>
          <w:rFonts w:ascii="Times New Roman" w:hAnsi="Times New Roman" w:cs="Times New Roman"/>
          <w:sz w:val="24"/>
          <w:szCs w:val="24"/>
        </w:rPr>
        <w:t xml:space="preserve"> города Перми администрация города Перми постановляет:</w:t>
      </w:r>
    </w:p>
    <w:p w:rsidR="00190DC2" w:rsidRPr="00D8791C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9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8791C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D8791C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5" w:tooltip="ПОРЯДОК"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8791C">
        <w:rPr>
          <w:rFonts w:ascii="Times New Roman" w:hAnsi="Times New Roman" w:cs="Times New Roman"/>
          <w:sz w:val="24"/>
          <w:szCs w:val="24"/>
        </w:rPr>
        <w:t xml:space="preserve"> осуществления мониторинга уро</w:t>
      </w:r>
      <w:r w:rsidRPr="00D8791C">
        <w:rPr>
          <w:rFonts w:ascii="Times New Roman" w:hAnsi="Times New Roman" w:cs="Times New Roman"/>
          <w:sz w:val="24"/>
          <w:szCs w:val="24"/>
        </w:rPr>
        <w:t>вня максимальной заполняемости парковочных мест на платных парковках общего пользования местного значения города Перми вдоль проезжей части в пределах тарифной зоны.</w:t>
      </w:r>
    </w:p>
    <w:p w:rsidR="00190DC2" w:rsidRPr="00D8791C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Постан</w:t>
        </w:r>
        <w:r w:rsidRPr="00D8791C">
          <w:rPr>
            <w:rFonts w:ascii="Times New Roman" w:hAnsi="Times New Roman" w:cs="Times New Roman"/>
            <w:color w:val="0000FF"/>
            <w:sz w:val="24"/>
            <w:szCs w:val="24"/>
          </w:rPr>
          <w:t>овления</w:t>
        </w:r>
      </w:hyperlink>
      <w:r w:rsidRPr="00D8791C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D8791C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</w:t>
      </w:r>
      <w:r w:rsidRPr="00D8791C">
        <w:rPr>
          <w:rFonts w:ascii="Times New Roman" w:hAnsi="Times New Roman" w:cs="Times New Roman"/>
          <w:sz w:val="24"/>
          <w:szCs w:val="24"/>
        </w:rPr>
        <w:t xml:space="preserve"> Пермь".</w:t>
      </w:r>
    </w:p>
    <w:p w:rsidR="00190DC2" w:rsidRPr="00D8791C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90DC2" w:rsidRPr="00D8791C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4.</w:t>
      </w:r>
      <w:r w:rsidRPr="00D8791C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90DC2" w:rsidRPr="00D8791C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5. Контрол</w:t>
      </w:r>
      <w:r w:rsidRPr="00D8791C">
        <w:rPr>
          <w:rFonts w:ascii="Times New Roman" w:hAnsi="Times New Roman" w:cs="Times New Roman"/>
          <w:sz w:val="24"/>
          <w:szCs w:val="24"/>
        </w:rPr>
        <w:t>ь за исполнением настоящего постановления возложить на заместителя главы администрации города Перми Галиханова Д.К.</w:t>
      </w:r>
    </w:p>
    <w:p w:rsidR="00190DC2" w:rsidRPr="00D8791C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И.о. Главы города Перми</w:t>
      </w:r>
    </w:p>
    <w:p w:rsidR="00190DC2" w:rsidRDefault="008646B0" w:rsidP="00D8791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D8791C" w:rsidRDefault="00D8791C" w:rsidP="00D8791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DA562C" w:rsidRDefault="00DA562C" w:rsidP="00D8791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DA562C" w:rsidRPr="00D8791C" w:rsidRDefault="00DA562C" w:rsidP="00D8791C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0DC2" w:rsidRPr="00D8791C" w:rsidRDefault="008646B0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D8791C">
        <w:rPr>
          <w:rFonts w:ascii="Times New Roman" w:hAnsi="Times New Roman" w:cs="Times New Roman"/>
          <w:sz w:val="24"/>
          <w:szCs w:val="24"/>
        </w:rPr>
        <w:t>Т</w:t>
      </w:r>
      <w:r w:rsidRPr="00D8791C">
        <w:rPr>
          <w:rFonts w:ascii="Times New Roman" w:hAnsi="Times New Roman" w:cs="Times New Roman"/>
          <w:sz w:val="24"/>
          <w:szCs w:val="24"/>
        </w:rPr>
        <w:t>ВЕРЖДЕН</w:t>
      </w:r>
    </w:p>
    <w:p w:rsidR="00190DC2" w:rsidRPr="00D8791C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90DC2" w:rsidRPr="00D8791C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190DC2" w:rsidRPr="00D8791C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от 26.08.2022 N 718</w:t>
      </w:r>
    </w:p>
    <w:p w:rsidR="00190DC2" w:rsidRPr="00D8791C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8791C">
        <w:rPr>
          <w:rFonts w:ascii="Times New Roman" w:hAnsi="Times New Roman" w:cs="Times New Roman"/>
          <w:sz w:val="24"/>
          <w:szCs w:val="24"/>
        </w:rPr>
        <w:t>ПОРЯДОК</w:t>
      </w:r>
    </w:p>
    <w:p w:rsidR="00190DC2" w:rsidRPr="00D8791C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D8791C">
        <w:rPr>
          <w:rFonts w:ascii="Times New Roman" w:hAnsi="Times New Roman" w:cs="Times New Roman"/>
          <w:sz w:val="24"/>
          <w:szCs w:val="24"/>
        </w:rPr>
        <w:t>ОСУЩЕСТВЛЕНИЯ МОНИТОРИНГА УРОВНЯ МАКСИМАЛЬНОЙ ЗАПОЛНЯЕМОСТИ</w:t>
      </w:r>
    </w:p>
    <w:p w:rsidR="00190DC2" w:rsidRPr="008A5F90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ПАРКОВОЧНЫХ МЕСТ НА ПЛАТНЫХ ПАРКОВКАХ ОБЩЕГО ПОЛЬЗОВАНИЯ</w:t>
      </w:r>
    </w:p>
    <w:p w:rsidR="00190DC2" w:rsidRPr="008A5F90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МЕСТНОГО ЗНАЧЕНИЯ ГОРОДА ПЕРМИ ВДОЛЬ ПРОЕЗЖЕЙ ЧАСТИ</w:t>
      </w:r>
    </w:p>
    <w:p w:rsidR="00190DC2" w:rsidRPr="008A5F90" w:rsidRDefault="008646B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В ПРЕДЕЛАХ ТАРИФНОЙ ЗОНЫ</w:t>
      </w:r>
    </w:p>
    <w:p w:rsidR="00190DC2" w:rsidRPr="008A5F90" w:rsidRDefault="00190DC2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0DC2" w:rsidRPr="008A5F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      <w:r w:rsidRPr="008A5F9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</w:t>
              </w:r>
              <w:r w:rsidRPr="008A5F9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овления</w:t>
              </w:r>
            </w:hyperlink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27.08.2025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1.1. Настоящий Порядок осуществления мониторинга уровня максимальной заполняемости парковочных мест на платных парковках общего пользования местного значения города Перми вдоль проезжей части в пределах тарифной зоны (далее - мониторинг) определяет процеду</w:t>
      </w:r>
      <w:r w:rsidRPr="008A5F90">
        <w:rPr>
          <w:rFonts w:ascii="Times New Roman" w:hAnsi="Times New Roman" w:cs="Times New Roman"/>
          <w:sz w:val="24"/>
          <w:szCs w:val="24"/>
        </w:rPr>
        <w:t>ру сбора информации об уровне заполняемости парковочных мест на платных парковках общего пользования местного значения города Перми вдоль проезжей части, обработки полученных данных.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1.2. Монито</w:t>
      </w:r>
      <w:r w:rsidRPr="008A5F90">
        <w:rPr>
          <w:rFonts w:ascii="Times New Roman" w:hAnsi="Times New Roman" w:cs="Times New Roman"/>
          <w:sz w:val="24"/>
          <w:szCs w:val="24"/>
        </w:rPr>
        <w:t>ринг осуществляется муниципальным казенным учреждением "Пермская дирекция дорожного движения" (далее - Учреждение).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1.3. Мониторинг выполняется ежеквартально на протяжении не менее недели в периоды использования платных парковок на платной основе.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II. Пор</w:t>
      </w:r>
      <w:r w:rsidRPr="008A5F90">
        <w:rPr>
          <w:rFonts w:ascii="Times New Roman" w:hAnsi="Times New Roman" w:cs="Times New Roman"/>
          <w:sz w:val="24"/>
          <w:szCs w:val="24"/>
        </w:rPr>
        <w:t>ядок осуществления мониторинга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2.1. Мониторинг может производиться как в отношении всех парковок, относящихся к одной тарифной зоне, так и произвольной совокупности кварталов в пределах тарифной зоны в целях анализа неравномерности уровня максимальной зап</w:t>
      </w:r>
      <w:r w:rsidRPr="008A5F90">
        <w:rPr>
          <w:rFonts w:ascii="Times New Roman" w:hAnsi="Times New Roman" w:cs="Times New Roman"/>
          <w:sz w:val="24"/>
          <w:szCs w:val="24"/>
        </w:rPr>
        <w:t>олняемости парковок и выявления необходимости организации дополнительных тарифных зон.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(п. 2.1 в ред. </w:t>
      </w:r>
      <w:hyperlink r:id="rId13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2.2. Мониторинг осуществляется при помощи работающих в автоматическом режиме специальных технических</w:t>
      </w:r>
      <w:r w:rsidRPr="008A5F90">
        <w:rPr>
          <w:rFonts w:ascii="Times New Roman" w:hAnsi="Times New Roman" w:cs="Times New Roman"/>
          <w:sz w:val="24"/>
          <w:szCs w:val="24"/>
        </w:rPr>
        <w:t xml:space="preserve"> средств, имеющих функции фото- и киносъемки, видеозаписи, средств фотосъемки, видеозаписи, и (или) путем визуальных подсчетов.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2.3. В процессе мониторинга фиксируется количество заполненных платных парковочных мест в пределах одного квартала без учета пар</w:t>
      </w:r>
      <w:r w:rsidRPr="008A5F90">
        <w:rPr>
          <w:rFonts w:ascii="Times New Roman" w:hAnsi="Times New Roman" w:cs="Times New Roman"/>
          <w:sz w:val="24"/>
          <w:szCs w:val="24"/>
        </w:rPr>
        <w:t xml:space="preserve">ковочных мест, предназначенных для размещения транспортных средств инвалидов в соответствии с </w:t>
      </w:r>
      <w:hyperlink r:id="rId14" w:tooltip="Постановление Правительства РФ от 23.10.1993 N 1090 (ред. от 16.07.202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Pr="008A5F90">
        <w:rPr>
          <w:rFonts w:ascii="Times New Roman" w:hAnsi="Times New Roman" w:cs="Times New Roman"/>
          <w:sz w:val="24"/>
          <w:szCs w:val="24"/>
        </w:rPr>
        <w:t>ии г. Перми от 27.08.2025 N 588)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По результатам мониторинга оценивается процентное соотношение максимального значения количества заполненных платных парковочных мест и количества платных парковочных мест в </w:t>
      </w:r>
      <w:r w:rsidRPr="008A5F90">
        <w:rPr>
          <w:rFonts w:ascii="Times New Roman" w:hAnsi="Times New Roman" w:cs="Times New Roman"/>
          <w:sz w:val="24"/>
          <w:szCs w:val="24"/>
        </w:rPr>
        <w:lastRenderedPageBreak/>
        <w:t>квартале в соответствии с проектом организации дор</w:t>
      </w:r>
      <w:r w:rsidRPr="008A5F90">
        <w:rPr>
          <w:rFonts w:ascii="Times New Roman" w:hAnsi="Times New Roman" w:cs="Times New Roman"/>
          <w:sz w:val="24"/>
          <w:szCs w:val="24"/>
        </w:rPr>
        <w:t>ожного движения.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2.4. Результаты мониторинга оформляются </w:t>
      </w:r>
      <w:hyperlink w:anchor="P83" w:tooltip="АКТ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мониторинга уровня максимальной заполняемости парковочных мест на платных парковках общего польз</w:t>
      </w:r>
      <w:r w:rsidRPr="008A5F90">
        <w:rPr>
          <w:rFonts w:ascii="Times New Roman" w:hAnsi="Times New Roman" w:cs="Times New Roman"/>
          <w:sz w:val="24"/>
          <w:szCs w:val="24"/>
        </w:rPr>
        <w:t>ования местного значения города Перми вдоль проезжей части в пределах тарифной зоны (далее - акт мониторинга) по форме согласно приложению к настоящему постановлению в течение 10 рабочих дней со дня окончания осуществления мониторинга.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2.5. Акт мониторинга в течение 2 рабочих дней направляется Учреждением в департамент дорог и благоустройства администрации города Перми (далее - Департамент).</w:t>
      </w:r>
    </w:p>
    <w:p w:rsidR="00190DC2" w:rsidRPr="008A5F90" w:rsidRDefault="008646B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hyperlink r:id="rId18" w:tooltip="Постановление Правительства Пермского края от 07.07.2025 N 555-п &quot;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пунктами 2.7.1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Постановление Правительства Пермского края от 07.07.2025 N 555-п &quot;Об определе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2.7.2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Методики расчета размера платы за пользование платн</w:t>
      </w:r>
      <w:r w:rsidRPr="008A5F90">
        <w:rPr>
          <w:rFonts w:ascii="Times New Roman" w:hAnsi="Times New Roman" w:cs="Times New Roman"/>
          <w:sz w:val="24"/>
          <w:szCs w:val="24"/>
        </w:rPr>
        <w:t xml:space="preserve">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края, утвержденной постановлением Правительства Пермского края от 07 июля 2025 г. N 555-п, </w:t>
      </w:r>
      <w:r w:rsidRPr="008A5F90">
        <w:rPr>
          <w:rFonts w:ascii="Times New Roman" w:hAnsi="Times New Roman" w:cs="Times New Roman"/>
          <w:sz w:val="24"/>
          <w:szCs w:val="24"/>
        </w:rPr>
        <w:t>Департамент в течение месяца, следующего за кварталом проведения мониторинга, направляет Главе города Перми информацию о результатах мониторинга и выполнении условий изменения размера платы за пользование платными парковками общего пользования местного зна</w:t>
      </w:r>
      <w:r w:rsidRPr="008A5F90">
        <w:rPr>
          <w:rFonts w:ascii="Times New Roman" w:hAnsi="Times New Roman" w:cs="Times New Roman"/>
          <w:sz w:val="24"/>
          <w:szCs w:val="24"/>
        </w:rPr>
        <w:t>чения города Перми вдоль проезжей части в границах тарифной зоны.</w:t>
      </w:r>
    </w:p>
    <w:p w:rsidR="00190DC2" w:rsidRPr="008A5F90" w:rsidRDefault="008646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 xml:space="preserve">(п. 2.5 в ред. </w:t>
      </w:r>
      <w:hyperlink r:id="rId20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<w:r w:rsidRPr="008A5F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A5F90">
        <w:rPr>
          <w:rFonts w:ascii="Times New Roman" w:hAnsi="Times New Roman" w:cs="Times New Roman"/>
          <w:sz w:val="24"/>
          <w:szCs w:val="24"/>
        </w:rPr>
        <w:t xml:space="preserve"> Администрации г. Перми от 27.08.2025 N 588)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Приложение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к Порядку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осуществления мониторинга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уровня максимальной заполняемости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парковочных мест на платных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парковках общего пользования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местного значения города Перми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вдоль проезжей части в</w:t>
      </w: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пределах тарифной зоны</w:t>
      </w:r>
    </w:p>
    <w:p w:rsidR="00190DC2" w:rsidRPr="008A5F90" w:rsidRDefault="00190DC2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90DC2" w:rsidRPr="008A5F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" w:tooltip="Постановление Администрации г. Перми от 27.08.2025 N 588 &quot;О внесении изменений в отдельные постановления администрации города Перми&quot; {КонсультантПлюс}">
              <w:r w:rsidRPr="008A5F9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A5F9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27.08.2025 N 588)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ФОРМА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3"/>
      <w:bookmarkEnd w:id="2"/>
      <w:r w:rsidRPr="008A5F90">
        <w:rPr>
          <w:rFonts w:ascii="Times New Roman" w:hAnsi="Times New Roman" w:cs="Times New Roman"/>
          <w:sz w:val="24"/>
          <w:szCs w:val="24"/>
        </w:rPr>
        <w:t>АКТ</w:t>
      </w: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мониторинга уровня максимальной заполняемости</w:t>
      </w: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парковочных мест на платных парковках общего пользования</w:t>
      </w: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местного значения города Перми вдоль проезжей</w:t>
      </w: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части в пределах тарифной зоны</w:t>
      </w:r>
    </w:p>
    <w:p w:rsidR="00190DC2" w:rsidRPr="008A5F90" w:rsidRDefault="008646B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8A5F90">
        <w:rPr>
          <w:rFonts w:ascii="Times New Roman" w:hAnsi="Times New Roman" w:cs="Times New Roman"/>
          <w:sz w:val="24"/>
          <w:szCs w:val="24"/>
        </w:rPr>
        <w:t>за период с ____________ по ______________</w:t>
      </w:r>
    </w:p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6"/>
        <w:gridCol w:w="4139"/>
      </w:tblGrid>
      <w:tr w:rsidR="00190DC2" w:rsidRPr="008A5F90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190DC2" w:rsidRPr="008A5F90" w:rsidRDefault="008646B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90DC2" w:rsidRPr="008A5F90" w:rsidRDefault="008646B0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тарифная зона N _________</w:t>
            </w:r>
          </w:p>
        </w:tc>
      </w:tr>
    </w:tbl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84"/>
        <w:gridCol w:w="964"/>
        <w:gridCol w:w="724"/>
        <w:gridCol w:w="737"/>
        <w:gridCol w:w="724"/>
        <w:gridCol w:w="737"/>
        <w:gridCol w:w="1624"/>
        <w:gridCol w:w="1134"/>
        <w:gridCol w:w="1304"/>
      </w:tblGrid>
      <w:tr w:rsidR="00190DC2" w:rsidRPr="008A5F90">
        <w:tc>
          <w:tcPr>
            <w:tcW w:w="340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84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64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22" w:type="dxa"/>
            <w:gridSpan w:val="4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Количество заполненных платных парковочных мест &lt;*&gt;</w:t>
            </w:r>
          </w:p>
        </w:tc>
        <w:tc>
          <w:tcPr>
            <w:tcW w:w="1624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количества заполненных платных парковочных мест</w:t>
            </w:r>
          </w:p>
        </w:tc>
        <w:tc>
          <w:tcPr>
            <w:tcW w:w="1134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Количество платных парковочных мест</w:t>
            </w:r>
          </w:p>
        </w:tc>
        <w:tc>
          <w:tcPr>
            <w:tcW w:w="1304" w:type="dxa"/>
            <w:vMerge w:val="restart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Уровень максимальной заполняемости парковочных мест, %</w:t>
            </w:r>
          </w:p>
        </w:tc>
      </w:tr>
      <w:tr w:rsidR="00190DC2" w:rsidRPr="008A5F90">
        <w:tc>
          <w:tcPr>
            <w:tcW w:w="340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737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2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737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340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190DC2" w:rsidRPr="008A5F90" w:rsidRDefault="008646B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0DC2" w:rsidRPr="008A5F90">
        <w:tc>
          <w:tcPr>
            <w:tcW w:w="340" w:type="dxa"/>
            <w:vMerge w:val="restart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340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340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340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340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2" w:rsidRPr="008A5F90">
        <w:tc>
          <w:tcPr>
            <w:tcW w:w="5010" w:type="dxa"/>
            <w:gridSpan w:val="7"/>
          </w:tcPr>
          <w:p w:rsidR="00190DC2" w:rsidRPr="008A5F90" w:rsidRDefault="008646B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90DC2" w:rsidRPr="008A5F90" w:rsidRDefault="00190DC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90DC2" w:rsidRPr="008A5F9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0DC2" w:rsidRPr="008A5F90" w:rsidRDefault="008646B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Средства проведения мониторинга __________________________________________</w:t>
            </w:r>
          </w:p>
          <w:p w:rsidR="00190DC2" w:rsidRPr="008A5F90" w:rsidRDefault="008646B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Лицо, проводившее мониторинг: ____________________________________________</w:t>
            </w:r>
          </w:p>
          <w:p w:rsidR="00190DC2" w:rsidRPr="008A5F90" w:rsidRDefault="008646B0">
            <w:pPr>
              <w:pStyle w:val="ConsPlusNormal0"/>
              <w:ind w:left="4528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(Ф.И.О., должность, подпись)</w:t>
            </w:r>
          </w:p>
        </w:tc>
      </w:tr>
      <w:tr w:rsidR="00190DC2" w:rsidRPr="008A5F9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0DC2" w:rsidRPr="008A5F90" w:rsidRDefault="008646B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0DC2" w:rsidRPr="008A5F90" w:rsidRDefault="008646B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90">
              <w:rPr>
                <w:rFonts w:ascii="Times New Roman" w:hAnsi="Times New Roman" w:cs="Times New Roman"/>
                <w:sz w:val="24"/>
                <w:szCs w:val="24"/>
              </w:rPr>
              <w:t>&lt;*&gt; Количество граф определяется в зависимости от количества дней проведения мониторинга</w:t>
            </w:r>
          </w:p>
        </w:tc>
      </w:tr>
    </w:tbl>
    <w:p w:rsidR="00190DC2" w:rsidRPr="008A5F90" w:rsidRDefault="00190D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sectPr w:rsidR="00190DC2" w:rsidRPr="008A5F90">
      <w:footerReference w:type="defaul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B0" w:rsidRDefault="008646B0">
      <w:r>
        <w:separator/>
      </w:r>
    </w:p>
  </w:endnote>
  <w:endnote w:type="continuationSeparator" w:id="0">
    <w:p w:rsidR="008646B0" w:rsidRDefault="008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7" w:type="pct"/>
      <w:jc w:val="righ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37"/>
    </w:tblGrid>
    <w:tr w:rsidR="008A5F90" w:rsidRPr="00D8791C" w:rsidTr="00D8791C">
      <w:tblPrEx>
        <w:tblCellMar>
          <w:top w:w="0" w:type="dxa"/>
          <w:bottom w:w="0" w:type="dxa"/>
        </w:tblCellMar>
      </w:tblPrEx>
      <w:trPr>
        <w:trHeight w:hRule="exact" w:val="1663"/>
        <w:jc w:val="right"/>
      </w:trPr>
      <w:tc>
        <w:tcPr>
          <w:tcW w:w="5000" w:type="pct"/>
          <w:vAlign w:val="center"/>
        </w:tcPr>
        <w:p w:rsidR="008A5F90" w:rsidRPr="00D8791C" w:rsidRDefault="008A5F90">
          <w:pPr>
            <w:pStyle w:val="ConsPlusNormal0"/>
            <w:jc w:val="right"/>
            <w:rPr>
              <w:rFonts w:ascii="Times New Roman" w:hAnsi="Times New Roman" w:cs="Times New Roman"/>
            </w:rPr>
          </w:pPr>
          <w:r w:rsidRPr="00D8791C">
            <w:rPr>
              <w:rFonts w:ascii="Times New Roman" w:hAnsi="Times New Roman" w:cs="Times New Roman"/>
            </w:rPr>
            <w:t xml:space="preserve">Страница </w:t>
          </w:r>
          <w:r w:rsidRPr="00D8791C">
            <w:rPr>
              <w:rFonts w:ascii="Times New Roman" w:hAnsi="Times New Roman" w:cs="Times New Roman"/>
            </w:rPr>
            <w:fldChar w:fldCharType="begin"/>
          </w:r>
          <w:r w:rsidRPr="00D8791C">
            <w:rPr>
              <w:rFonts w:ascii="Times New Roman" w:hAnsi="Times New Roman" w:cs="Times New Roman"/>
            </w:rPr>
            <w:instrText>PAGE</w:instrText>
          </w:r>
          <w:r w:rsidRPr="00D8791C">
            <w:rPr>
              <w:rFonts w:ascii="Times New Roman" w:hAnsi="Times New Roman" w:cs="Times New Roman"/>
            </w:rPr>
            <w:fldChar w:fldCharType="separate"/>
          </w:r>
          <w:r w:rsidR="00DA562C">
            <w:rPr>
              <w:rFonts w:ascii="Times New Roman" w:hAnsi="Times New Roman" w:cs="Times New Roman"/>
              <w:noProof/>
            </w:rPr>
            <w:t>3</w:t>
          </w:r>
          <w:r w:rsidRPr="00D8791C">
            <w:rPr>
              <w:rFonts w:ascii="Times New Roman" w:hAnsi="Times New Roman" w:cs="Times New Roman"/>
            </w:rPr>
            <w:fldChar w:fldCharType="end"/>
          </w:r>
          <w:r w:rsidRPr="00D8791C">
            <w:rPr>
              <w:rFonts w:ascii="Times New Roman" w:hAnsi="Times New Roman" w:cs="Times New Roman"/>
            </w:rPr>
            <w:t xml:space="preserve"> из </w:t>
          </w:r>
          <w:r w:rsidRPr="00D8791C">
            <w:rPr>
              <w:rFonts w:ascii="Times New Roman" w:hAnsi="Times New Roman" w:cs="Times New Roman"/>
            </w:rPr>
            <w:fldChar w:fldCharType="begin"/>
          </w:r>
          <w:r w:rsidRPr="00D8791C">
            <w:rPr>
              <w:rFonts w:ascii="Times New Roman" w:hAnsi="Times New Roman" w:cs="Times New Roman"/>
            </w:rPr>
            <w:instrText>NUMPAGES</w:instrText>
          </w:r>
          <w:r w:rsidRPr="00D8791C">
            <w:rPr>
              <w:rFonts w:ascii="Times New Roman" w:hAnsi="Times New Roman" w:cs="Times New Roman"/>
            </w:rPr>
            <w:fldChar w:fldCharType="separate"/>
          </w:r>
          <w:r w:rsidR="00DA562C">
            <w:rPr>
              <w:rFonts w:ascii="Times New Roman" w:hAnsi="Times New Roman" w:cs="Times New Roman"/>
              <w:noProof/>
            </w:rPr>
            <w:t>4</w:t>
          </w:r>
          <w:r w:rsidRPr="00D8791C">
            <w:rPr>
              <w:rFonts w:ascii="Times New Roman" w:hAnsi="Times New Roman" w:cs="Times New Roman"/>
            </w:rPr>
            <w:fldChar w:fldCharType="end"/>
          </w:r>
        </w:p>
      </w:tc>
    </w:tr>
  </w:tbl>
  <w:p w:rsidR="00190DC2" w:rsidRDefault="00190DC2" w:rsidP="00D8791C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0DC2" w:rsidRPr="00D879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0DC2" w:rsidRDefault="00190DC2">
          <w:pPr>
            <w:pStyle w:val="ConsPlusNormal0"/>
          </w:pPr>
        </w:p>
      </w:tc>
      <w:tc>
        <w:tcPr>
          <w:tcW w:w="1700" w:type="pct"/>
          <w:vAlign w:val="center"/>
        </w:tcPr>
        <w:p w:rsidR="00190DC2" w:rsidRDefault="00190DC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90DC2" w:rsidRPr="00D8791C" w:rsidRDefault="008646B0">
          <w:pPr>
            <w:pStyle w:val="ConsPlusNormal0"/>
            <w:jc w:val="right"/>
            <w:rPr>
              <w:rFonts w:ascii="Times New Roman" w:hAnsi="Times New Roman" w:cs="Times New Roman"/>
            </w:rPr>
          </w:pPr>
          <w:r w:rsidRPr="00D8791C">
            <w:rPr>
              <w:rFonts w:ascii="Times New Roman" w:hAnsi="Times New Roman" w:cs="Times New Roman"/>
            </w:rPr>
            <w:t xml:space="preserve">Страница </w:t>
          </w:r>
          <w:r w:rsidRPr="00D8791C">
            <w:rPr>
              <w:rFonts w:ascii="Times New Roman" w:hAnsi="Times New Roman" w:cs="Times New Roman"/>
            </w:rPr>
            <w:fldChar w:fldCharType="begin"/>
          </w:r>
          <w:r w:rsidRPr="00D8791C">
            <w:rPr>
              <w:rFonts w:ascii="Times New Roman" w:hAnsi="Times New Roman" w:cs="Times New Roman"/>
            </w:rPr>
            <w:instrText>PAGE</w:instrText>
          </w:r>
          <w:r w:rsidRPr="00D8791C">
            <w:rPr>
              <w:rFonts w:ascii="Times New Roman" w:hAnsi="Times New Roman" w:cs="Times New Roman"/>
            </w:rPr>
            <w:fldChar w:fldCharType="separate"/>
          </w:r>
          <w:r w:rsidR="00DA562C">
            <w:rPr>
              <w:rFonts w:ascii="Times New Roman" w:hAnsi="Times New Roman" w:cs="Times New Roman"/>
              <w:noProof/>
            </w:rPr>
            <w:t>1</w:t>
          </w:r>
          <w:r w:rsidRPr="00D8791C">
            <w:rPr>
              <w:rFonts w:ascii="Times New Roman" w:hAnsi="Times New Roman" w:cs="Times New Roman"/>
            </w:rPr>
            <w:fldChar w:fldCharType="end"/>
          </w:r>
          <w:r w:rsidRPr="00D8791C">
            <w:rPr>
              <w:rFonts w:ascii="Times New Roman" w:hAnsi="Times New Roman" w:cs="Times New Roman"/>
            </w:rPr>
            <w:t xml:space="preserve"> из </w:t>
          </w:r>
          <w:r w:rsidRPr="00D8791C">
            <w:rPr>
              <w:rFonts w:ascii="Times New Roman" w:hAnsi="Times New Roman" w:cs="Times New Roman"/>
            </w:rPr>
            <w:fldChar w:fldCharType="begin"/>
          </w:r>
          <w:r w:rsidRPr="00D8791C">
            <w:rPr>
              <w:rFonts w:ascii="Times New Roman" w:hAnsi="Times New Roman" w:cs="Times New Roman"/>
            </w:rPr>
            <w:instrText>NUMPAGES</w:instrText>
          </w:r>
          <w:r w:rsidRPr="00D8791C">
            <w:rPr>
              <w:rFonts w:ascii="Times New Roman" w:hAnsi="Times New Roman" w:cs="Times New Roman"/>
            </w:rPr>
            <w:fldChar w:fldCharType="separate"/>
          </w:r>
          <w:r w:rsidR="00DA562C">
            <w:rPr>
              <w:rFonts w:ascii="Times New Roman" w:hAnsi="Times New Roman" w:cs="Times New Roman"/>
              <w:noProof/>
            </w:rPr>
            <w:t>4</w:t>
          </w:r>
          <w:r w:rsidRPr="00D8791C">
            <w:rPr>
              <w:rFonts w:ascii="Times New Roman" w:hAnsi="Times New Roman" w:cs="Times New Roman"/>
            </w:rPr>
            <w:fldChar w:fldCharType="end"/>
          </w:r>
        </w:p>
      </w:tc>
    </w:tr>
  </w:tbl>
  <w:p w:rsidR="00190DC2" w:rsidRDefault="008646B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B0" w:rsidRDefault="008646B0">
      <w:r>
        <w:separator/>
      </w:r>
    </w:p>
  </w:footnote>
  <w:footnote w:type="continuationSeparator" w:id="0">
    <w:p w:rsidR="008646B0" w:rsidRDefault="0086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DC2"/>
    <w:rsid w:val="00190DC2"/>
    <w:rsid w:val="008646B0"/>
    <w:rsid w:val="008A5F90"/>
    <w:rsid w:val="00D8791C"/>
    <w:rsid w:val="00D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5DD9"/>
  <w15:docId w15:val="{191F7BB4-B7ED-45AD-A482-BE50ABB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5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F90"/>
  </w:style>
  <w:style w:type="paragraph" w:styleId="a5">
    <w:name w:val="footer"/>
    <w:basedOn w:val="a"/>
    <w:link w:val="a6"/>
    <w:uiPriority w:val="99"/>
    <w:unhideWhenUsed/>
    <w:rsid w:val="008A5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206334&amp;dst=100739" TargetMode="External"/><Relationship Id="rId13" Type="http://schemas.openxmlformats.org/officeDocument/2006/relationships/hyperlink" Target="https://login.consultant.ru/link/?req=doc&amp;base=RLAW368&amp;n=211699&amp;dst=100015" TargetMode="External"/><Relationship Id="rId18" Type="http://schemas.openxmlformats.org/officeDocument/2006/relationships/hyperlink" Target="https://login.consultant.ru/link/?req=doc&amp;base=RLAW368&amp;n=210306&amp;dst=1000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211699&amp;dst=100022" TargetMode="External"/><Relationship Id="rId7" Type="http://schemas.openxmlformats.org/officeDocument/2006/relationships/hyperlink" Target="https://login.consultant.ru/link/?req=doc&amp;base=RLAW368&amp;n=210306&amp;dst=100048" TargetMode="External"/><Relationship Id="rId12" Type="http://schemas.openxmlformats.org/officeDocument/2006/relationships/hyperlink" Target="https://login.consultant.ru/link/?req=doc&amp;base=RLAW368&amp;n=211699&amp;dst=100014" TargetMode="External"/><Relationship Id="rId17" Type="http://schemas.openxmlformats.org/officeDocument/2006/relationships/hyperlink" Target="https://login.consultant.ru/link/?req=doc&amp;base=RLAW368&amp;n=211699&amp;dst=10001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211699&amp;dst=100017" TargetMode="External"/><Relationship Id="rId20" Type="http://schemas.openxmlformats.org/officeDocument/2006/relationships/hyperlink" Target="https://login.consultant.ru/link/?req=doc&amp;base=RLAW368&amp;n=211699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211699&amp;dst=100007" TargetMode="External"/><Relationship Id="rId11" Type="http://schemas.openxmlformats.org/officeDocument/2006/relationships/hyperlink" Target="https://login.consultant.ru/link/?req=doc&amp;base=RLAW368&amp;n=211699&amp;dst=10001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211699&amp;dst=10001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AW368&amp;n=211699&amp;dst=100011" TargetMode="External"/><Relationship Id="rId19" Type="http://schemas.openxmlformats.org/officeDocument/2006/relationships/hyperlink" Target="https://login.consultant.ru/link/?req=doc&amp;base=RLAW368&amp;n=210306&amp;dst=1000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211699&amp;dst=100009" TargetMode="External"/><Relationship Id="rId14" Type="http://schemas.openxmlformats.org/officeDocument/2006/relationships/hyperlink" Target="https://login.consultant.ru/link/?req=doc&amp;base=LAW&amp;n=506719&amp;dst=10001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26.08.2022 N 718
(ред. от 27.08.2025)
"Об утверждении Порядка осуществления мониторинга уровня максимальной заполняемости парковочных мест на платных парковках общего пользования местного значения города Перми вдоль</vt:lpstr>
    </vt:vector>
  </TitlesOfParts>
  <Company>КонсультантПлюс Версия 4025.00.30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26.08.2022 N 718
(ред. от 27.08.2025)
"Об утверждении Порядка осуществления мониторинга уровня максимальной заполняемости парковочных мест на платных парковках общего пользования местного значения города Перми вдоль проезжей части в пределах тарифной зоны"</dc:title>
  <cp:lastModifiedBy>Анна Балуева</cp:lastModifiedBy>
  <cp:revision>2</cp:revision>
  <dcterms:created xsi:type="dcterms:W3CDTF">2025-09-05T11:30:00Z</dcterms:created>
  <dcterms:modified xsi:type="dcterms:W3CDTF">2025-09-05T11:53:00Z</dcterms:modified>
</cp:coreProperties>
</file>